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17 243 vom 2. April 2019</w:t>
      </w:r>
    </w:p>
    <w:p>
      <w:r>
        <w:t>VS Kantonsgericht, 2019-04-02, FR</w:t>
      </w:r>
    </w:p>
    <w:p>
      <w:r>
        <w:rPr>
          <w:b/>
        </w:rPr>
        <w:t xml:space="preserve">Quelle: </w:t>
      </w:r>
      <w:r>
        <w:t>https://mcp.opencaselaw.ch/entscheid/vs_gerichte_C1 17 243</w:t>
      </w:r>
    </w:p>
    <w:p>
      <w:r>
        <w:t>FR: VS_GERICHTE C1 17 243 du 2 avril 2019</w:t>
      </w:r>
    </w:p>
    <w:p>
      <w:r>
        <w:t>IT: VS_GERICHTE C1 17 243 del 2 aprile 2019</w:t>
      </w:r>
    </w:p>
    <w:p>
      <w:pPr>
        <w:pStyle w:val="Heading2"/>
      </w:pPr>
      <w:r>
        <w:t>Regeste</w:t>
      </w:r>
    </w:p>
    <w:p>
      <w:r>
        <w:t>Par arrêt du 10.05.2019 (5A_362/2019), le Tribunal fédéral a déclaré irrecevable le recours en matière civile interjeté par X_ contre ce jugement. C1 17 243 JUGEMENT DU 2 AVRIL 2019 Tribunal cantonal du Valais Cour civile II Composition : Jean-Pierre Derivaz, président; Jérôme Emonet et Stéphane Spahr, juges; Laura Jost, greffière; en la cause X _________, demandeur et appelant, contre Y _________, défenderesse et appelée, représentée par Maître M _________. (annulation du mariage) appel contre le jugement du juge des districts d'A _________ du 28 juillet 2017</w:t>
      </w:r>
    </w:p>
    <w:p>
      <w:pPr>
        <w:pStyle w:val="Heading2"/>
      </w:pPr>
      <w:r>
        <w:t>Erwägungen</w:t>
      </w:r>
    </w:p>
    <w:p>
      <w:r>
        <w:rPr>
          <w:b/>
        </w:rPr>
        <w:t>E. 3.1</w:t>
      </w:r>
    </w:p>
    <w:p>
      <w:r>
        <w:t>Les fiancés doivent avoir la volonté réelle et sérieuse de se marier. Tel n’est pas le cas lorsqu’ils concluent un mariage dans le but exclusif de contourner les dispositions sur le droit des étrangers, utilisant le mariage à des fins qui ne sont pas les siennes (PAPAUX VAN DELDEN, Mariage, partenariat enregistré, concubinage, in FamPra.ch 2017, p. 924). A teneur de l'article 105 ch. 4 CC, le mariage doit ainsi être annulé lorsque l'un des époux ne veut pas fonder une communauté conjugale mais éluder les dispositions sur l'admission et le séjour des étrangers. Il s'agit d'une cause absolue d'annulation du mariage.</w:t>
      </w:r>
    </w:p>
    <w:p>
      <w:r>
        <w:rPr>
          <w:b/>
        </w:rPr>
        <w:t>E. 3.1.1</w:t>
      </w:r>
    </w:p>
    <w:p>
      <w:r>
        <w:t>Cette disposition est entrée en vigueur au 1er janvier 2008 avec la nouvelle loi fédérale sur les étrangers. Elle correspond à l’article 120 ch. 4 aCC, qui permettait déjà d’annuler les mariages dits de nationalité, mais qui avait été abrogé au 1er janvier 1992. Lors de la révision du droit du divorce, le problème des mariages fictifs a été évoqué. Le législateur n'a toutefois pas jugé nécessaire d'insérer dans le Code civil une disposition correspondant à l'article 120 ch. 4 aCC. Il a estimé qu'il incombait aux autorités administratives saisies d'une demande de naturalisation, voire d'obtention ou de prolongation d'autorisation de séjour, d'examiner si un mariage était réel ou seulement fictif (cf. Message concernant la révision du code civil suisse du 15 novembre 1995, in FF 1996 I n. 224.21 p. 79 et 80). Il a ainsi fait sien l'avis du Tribunal fédéral qui, dans un arrêt publié aux ATF 113 II 472 (consid. 3) rendu à propos de l'ancien article 120 ch. 4 CC, se demandait si cette disposition n'allait pas trop loin, du moment que seule</w:t>
      </w:r>
    </w:p>
    <w:p>
      <w:r>
        <w:t>- 9 - l'acquisition de la nationalité par l'étrangère qui épousait un Suisse aurait dû être reconnue nulle pour cause d'abus de droit (RVJ 2011 p. 302 consid. 3.2.2). Dans un arrêt de principe, le Tribunal fédéral a considéré que, sous réserve d'une rétroactivité proprement dite ordonnée sciemment par le législateur, les causes d'annulation introduites après coup, ne peuvent rendre annulable un mariage conclu valablement à un moment antérieur. L'ordre public et les bonnes mœurs ne permettent une application rétroactive que lorsque la norme appartient aux principes fondamentaux de l'ordre juridique actuel, c'est-à-dire lorsqu'elle incorpore des conceptions socio- politiques et éthiques fondamentales (art. 1 al. 1 et 2 tit. fin. CC). Le mariage de complaisance célébré en vue d'éluder les dispositions sur le séjour des étrangers ne peut être assimilé à la bigamie, à la polygamie, ou encore au mariage forcé, qui sont considérés comme inconciliables avec les conceptions fondamentales relatives à l'institution du mariage et contraires à l'ordre public. L'article 105 ch. 4 CC n'a pas été établi dans l'intérêt de l'ordre public et des bonnes mœurs. Dans ces circonstances, cette disposition n'est pas applicable aux mariages conclus avant son entrée en vigueur (ATF 143 III 1 consid. 4; cf. ég. arrêt 5A_159/2016 du 9 mai 2016 consid. 2). Conformément à l'adage "pas de nullité sans texte en matière de mariage", le mariage fictif sortit tous ses effets en droit civil (DESCHENAUX/TERCIER/WERRO, Concubinage, mariage et démariage, 5e éd., 2000, n° 298). L'application du code des obligations est donc exclue; l'abus de droit ne peut également pas être invoqué pour obtenir l'annulation du mariage (GEISER, n. 2 ad art 104 CC; PELLATON, n. 15 ad art. 104 CC; cf. ég. SUTER KASEL-SEIBERT, Le mariage fictif, 2000, p. 148). Le mariage de complaisance, célébré après le 1er janvier 1992 - date d'abrogation de l'article 120 ch. 4 aCC -, mais avant le 1er janvier 2008, ne peut, partant, être dissous que par le divorce (ATF 143 III 1 consid. 4; RJN 2012 p. 115 consid. 10). L'époux, qui constate que son conjoint voulait uniquement se procurer un avantage en matière de police des étrangers et n'a dès lors jamais voulu fonder une réelle communauté conjugale, contrairement à lui, peut se prévaloir d'un motif sérieux au sens de l'article 115 CC. En revanche, le fait d'avoir recouru abusivement d'un commun accord à l'institution du mariage ne réalise pas un motif sérieux, par exemple si le demandeur a consciemment contracté le mariage pour aider son conjoint à obtenir un titre de séjour en Suisse (ATF 127 III 342 consid. 2, et réf. cit.; arrêt 5C.226/2001 du 6 novembre 2001, in FamPra.ch 2002 p. 337 n° 38; RSJB 2003 p. 538).</w:t>
      </w:r>
    </w:p>
    <w:p>
      <w:r>
        <w:rPr>
          <w:b/>
        </w:rPr>
        <w:t>E. 3.1.2</w:t>
      </w:r>
    </w:p>
    <w:p>
      <w:r>
        <w:t>Il convient de distinguer le mariage qui, bien qu'affecté d'un vice, a été valablement célébré, et le mariage qui est juridiquement inexistant en tant qu'un élément fondamental du mariage fait manifestement défaut et empêche par conséquent</w:t>
      </w:r>
    </w:p>
    <w:p>
      <w:r>
        <w:t>- 10 - d'admettre la validité même de la relation. Le premier doit être dissous suivant une procédure de divorce et/ou d'annulation de mariage; le second est nul de plein droit (PELLATTON, n. 11 ad art. 104 CC; cf. ég. A MARCA, Commentaire romand, 2010, n. 13 ad art. 104 CC). Il n'y a pas mariage au sens juridique lorsque la relation est entachée d'un vice fondamental, lorsqu'une condition absolument essentielle à sa formation fait défaut. Tel est le cas lorsqu'il n'y a pas eu échange - même vicié - des consentements, lorsque l'un des époux est prédécédé, lorsque les conjoints sont du même sexe ou encore lorsque le mariage n'a pas été célébré par un officier d'état civil (arrêt 5A_804/2008 du 30 juin 2009 consid. 3.1; ATF 114 II 1 consid. 1; PELLATTON, n. 12 ad art. 104 CC; GEISER, n. 3 ss ad art. 104 CC).</w:t>
      </w:r>
    </w:p>
    <w:p>
      <w:r>
        <w:rPr>
          <w:b/>
        </w:rPr>
        <w:t>E. 3.1.3</w:t>
      </w:r>
    </w:p>
    <w:p>
      <w:r>
        <w:t>Le mariage, fictif à l’origine, qui se transforme en une véritable union, même passagère, ne tombe pas sous le coup de l’article 105 ch. 4 CC (A MARCA, n. 33 ad art. 105 CC; GEISER, n. 14d ad art. 105 CC; PAPAUX VAN DELDEN, op. cit., p. 924 s.).</w:t>
      </w:r>
    </w:p>
    <w:p>
      <w:r>
        <w:rPr>
          <w:b/>
        </w:rPr>
        <w:t>E. 3.2</w:t>
      </w:r>
    </w:p>
    <w:p>
      <w:r>
        <w:t>En l'espèce, ni l'article 105 ch. 4 CC, entré en vigueur le 1er janvier 2008, ni l'article 104 ch. 4 aCC, abrogé le 1er janvier 1992, ne sont applicables au mariage litigieux, célébré le 15 décembre 1995. Il ne s'est, par ailleurs, pas agi d'un mariage inexistant, en sorte qu'il n'est pas nul de plein droit. Dans ces circonstances, il ne peut être dissous que par le divorce. Bien qu'assisté d'un avocat expérimenté, le demandeur n'a pas pris de conclusions subsidiaires tendant à la dissolution du mariage par le divorce. La demande doit, partant, être rejetée. La solution ne serait, au demeurant, pas nécessairement différente s'il avait fallu admettre l'application rétroactive de l'article 105 ch. 4 CC. Certes, les orientations sexuelles des parties étaient différentes. Il n'en demeure pas moins qu'il ne s'est pas agi d'un mariage précipité. Les parties, qui ne présentaient pas une différence d'âge significative, ont fait connaissance au mois d'avril 1994 et ne se sont mariées que quelque vingt mois plus tard, bien que la défenderesse ne bénéficiait pas d'une autorisation de séjour. Peu après le mariage, celle-ci a rejoint celui-là en O _________. Certes, durant les premières années du mariage, les parties n'ont pas toujours occupé une demeure commune, mais les périodes de séparation étaient réduites. Le demandeur a fourni des indices d'un mariage fictif. V _________ a, en particulier, déclaré que les fiancés avaient en vue un mariage de complaisance. Les témoins, dont l'audition a été sollicitée en appel, étaient susceptibles de le confirmer. Cela ne signifie pas, pour autant, que le mariage, à supposer initialement de nationalité, ne s'est, par la</w:t>
      </w:r>
    </w:p>
    <w:p>
      <w:r>
        <w:t>- 11 - suite, pas transformé en une véritable union. La vie commune, qui a duré dix-huit ans, et les déclarations d'amour répétées du demandeur constituent, en effet, des indices de nature à rendre, à tout le moins vraisemblable, que, à compter de la naissance de B _________, les parties ont formé temporairement une véritable communauté conjugale, en sorte que leur mariage ne tombe plus sous le coup de l'article 105 ch. 4 CC.</w:t>
      </w:r>
    </w:p>
    <w:p>
      <w:r>
        <w:rPr>
          <w:b/>
        </w:rPr>
        <w:t>E. 4</w:t>
      </w:r>
    </w:p>
    <w:p>
      <w:r>
        <w:t>L'appelant conteste le sort des frais et des dépens. Il fait valoir notamment que "la question du mariage de connivence a été totalement éludée" par le juge intimé, que l'édition d'un second rapport d'évaluation sociale n'était pas justifiée et que l'appelée "a délibérément tenté d'induire en erreur le Tribunal". Il se prévaut, en outre, de sa situation pécuniaire.</w:t>
      </w:r>
    </w:p>
    <w:p>
      <w:r>
        <w:rPr>
          <w:b/>
        </w:rPr>
        <w:t>E. 4.1</w:t>
      </w:r>
    </w:p>
    <w:p>
      <w:r>
        <w:t>Les frais sont, en principe, mis à la charge de la partie qui succombe (art. 106 al. 1 CPC). Le Tribunal est toutefois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 Il n'est pas exclu, en droit de la famille, que la partie qui obtient gain de cause soit condamnée à supporter des frais (arrêts 5D_169/2015 du 4 février 2016 consid. 5.3.2; 5A_398/2015 du 24 novembre 2015 consid. 5.1; 5D_76/2012 du 11 septembre 2012 consid. 4.4). Statuant dans ce cadre selon les règles du droit et de l’équité (art. 4 CC), l’autorité dispose d’un large pouvoir d’appréciation (ATF 139 III 358 consid. 2; arrêt 5A_261/2013 du 19 septembre 2013 consid. 3.3).</w:t>
      </w:r>
    </w:p>
    <w:p>
      <w:r>
        <w:rPr>
          <w:b/>
        </w:rPr>
        <w:t>E. 4.2.1</w:t>
      </w:r>
    </w:p>
    <w:p>
      <w:r>
        <w:t>En l'espèce, l'appelant a introduit action en annulation du mariage, le 23 octobre 2014. A la suite de l'échec de la tentative de conciliation, il a déposé le mémoire- demande le 13 mars 2015. A cette date, le Tribunal fédéral avait, dans un arrêt publié, tranché par la négative la question de savoir si l'article 105 ch. 4 CC s'appliquait aux mariages conclus avant le 1er janvier 2008. Le demandeur n'a pas, pour autant, renoncé à se prévaloir de la seule "nullité" de son mariage. Il ne saurait reprocher au juge de district d'avoir appliqué la jurisprudence. Conformément à la portée de celle-ci, même s'il s'était agi d'un mariage de complaisance conclu en vue d'éluder les dispositions sur l'admission et le séjour des étrangers, le magistrat intimé n'aurait pas pu l'annuler. La question de savoir s'il s'agissait d'un mariage de complaisance souffrait dès lors de rester indécise.</w:t>
      </w:r>
    </w:p>
    <w:p>
      <w:r>
        <w:t>- 12 - Le demandeur est, par ailleurs, malvenu de reprocher au juge de district d'avoir ordonné l'édition d'un nouveau rapport d'évaluation sociale. Il a, en effet, conclu à la garde alternée s'agissant de C _________ alors que pareille solution n'avait pas été instituée par transaction judiciaire du 6 juin 2014. Il convenait dès lors d'inviter l'OPE à établir un bilan de situation pour déterminer si la garde partagée était dans l'intérêt de C _________. Les conclusions du demandeur sont rejetées. En proie à une émotion violente, il s'est obstiné à réclamer l'annulation du mariage nonobstant la jurisprudence publiée. Aucune circonstance particulière ne rend, dans ces conditions, inéquitable la répartition des frais selon le gain du procès. L'appelant supporte dès lors les frais et les dépens de première instance.</w:t>
      </w:r>
    </w:p>
    <w:p>
      <w:r>
        <w:rPr>
          <w:b/>
        </w:rPr>
        <w:t>E. 4.2.2</w:t>
      </w:r>
    </w:p>
    <w:p>
      <w:r>
        <w:t>La cause a revêtu un degré de difficulté usuel. Le juge de district a cependant aménagé six séances. Il a dès lors arrêté, à juste titre, l'émolument à 1675 francs. Les débours se montent à 2325 francs. Le montant total de 4000 fr., fixé conformément aux dispositions applicables (art. 8, 10 al. 2, 11, 13 al. 1 et 17 al. 1 LTar), est, partant, confirmé.</w:t>
      </w:r>
    </w:p>
    <w:p>
      <w:r>
        <w:rPr>
          <w:b/>
        </w:rPr>
        <w:t>E. 4.2.3</w:t>
      </w:r>
    </w:p>
    <w:p>
      <w:r>
        <w:t>L'activité du conseil de l'appelée a consisté à participer à six séances d'une durée totale de 07h25. L'intéressée a rédigé un mémoire-réponse de vingt-quatre pages, différents courriers et/ou déterminations. Elle a préparé les débats du 14 juillet 2017. Le temps utilement consacré à la cause peut être arrêté à quelque 30 heures. Dans ces circonstances, il convient de confirmer le montant de 10'000 fr., débours inclus, qui lui a été alloué à titre de dépens (art. 34 al. 1 LTar). L'appelant paiera, en sus, à l'appelée le montant de 540 fr. à titre de remboursement d'avance.</w:t>
      </w:r>
    </w:p>
    <w:p>
      <w:r>
        <w:rPr>
          <w:b/>
        </w:rPr>
        <w:t>E. 5</w:t>
      </w:r>
    </w:p>
    <w:p>
      <w:r>
        <w:t>Le droit fédéral prévoit que les frais de la procédure d'appel sont, en principe, supportés par la partie qui succombe (art. 106 al. 1 CPC; arrêt 4A_608/2011 du 23 janvier 2012 consid. 5.3.3). L'appel est rejeté, en sorte qu'ils sont mis à la charge de l'appelant.</w:t>
      </w:r>
    </w:p>
    <w:p>
      <w:r>
        <w:rPr>
          <w:b/>
        </w:rPr>
        <w:t>E. 5.1</w:t>
      </w:r>
    </w:p>
    <w:p>
      <w:r>
        <w:t>L'émolument est calculé par référence au barème applicable en première instance et peut tenir compte d'un coefficient de réduction de 60 % (art. 19 LTar). La cause présentait un degré de difficulté ordinaire. Eu égard aux principes de la couverture des frais et de l'équivalence des prestations, ainsi qu'à la situation pécuniaire des parties, les frais de justice sont arrêtés à 1000 fr. et prélevés sur l’avance effectuée par l’appelant.</w:t>
      </w:r>
    </w:p>
    <w:p>
      <w:r>
        <w:t>- 13 -</w:t>
      </w:r>
    </w:p>
    <w:p>
      <w:r>
        <w:rPr>
          <w:b/>
        </w:rPr>
        <w:t>E. 5.2</w:t>
      </w:r>
    </w:p>
    <w:p>
      <w:r>
        <w:t>Les honoraires sont calculés par référence au barème applicable en première instance, compte tenu d'un coefficient de réduction de 60 % (art. 35 al. 1 let. a LTar). L'activité du conseil de l'appelée a, pour l'essentiel, consisté à prendre connaissance de la déclaration d'appel et à rédiger une brève réponse. Eu égard au degré ordinaire de difficulté de la cause et à la situation pécuniaire des parties, l'appelant versera à l'appelée une indemnité de 1000 fr. à titre de dépens,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